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55D" w:rsidP="00A9309F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4AF2">
        <w:rPr>
          <w:rFonts w:ascii="Times New Roman" w:hAnsi="Times New Roman"/>
          <w:bCs/>
          <w:sz w:val="28"/>
          <w:szCs w:val="28"/>
        </w:rPr>
        <w:t>Дело №</w:t>
      </w:r>
      <w:r>
        <w:rPr>
          <w:rFonts w:ascii="Times New Roman" w:hAnsi="Times New Roman"/>
          <w:bCs/>
          <w:sz w:val="28"/>
          <w:szCs w:val="28"/>
        </w:rPr>
        <w:t>5-</w:t>
      </w:r>
      <w:r w:rsidR="00DF66D6">
        <w:rPr>
          <w:rFonts w:ascii="Times New Roman" w:hAnsi="Times New Roman"/>
          <w:bCs/>
          <w:sz w:val="28"/>
          <w:szCs w:val="28"/>
        </w:rPr>
        <w:t>306</w:t>
      </w:r>
      <w:r w:rsidR="000E69F7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/</w:t>
      </w:r>
      <w:r w:rsidRPr="00454AF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 w:rsidR="00A9309F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C01184" w:rsidRPr="00BA255D" w:rsidP="00BA255D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BA255D">
        <w:rPr>
          <w:b w:val="0"/>
          <w:sz w:val="28"/>
          <w:szCs w:val="28"/>
        </w:rPr>
        <w:t>№86 MS0074-01-202</w:t>
      </w:r>
      <w:r w:rsidR="00366DB2">
        <w:rPr>
          <w:b w:val="0"/>
          <w:sz w:val="28"/>
          <w:szCs w:val="28"/>
        </w:rPr>
        <w:t>5</w:t>
      </w:r>
      <w:r w:rsidR="00BA255D">
        <w:rPr>
          <w:b w:val="0"/>
          <w:sz w:val="28"/>
          <w:szCs w:val="28"/>
        </w:rPr>
        <w:t>-00</w:t>
      </w:r>
      <w:r w:rsidR="00366DB2">
        <w:rPr>
          <w:b w:val="0"/>
          <w:sz w:val="28"/>
          <w:szCs w:val="28"/>
        </w:rPr>
        <w:t>1</w:t>
      </w:r>
      <w:r w:rsidR="00DF66D6">
        <w:rPr>
          <w:b w:val="0"/>
          <w:sz w:val="28"/>
          <w:szCs w:val="28"/>
        </w:rPr>
        <w:t>585-63</w:t>
      </w:r>
      <w:r w:rsidR="003619D9">
        <w:rPr>
          <w:bCs/>
          <w:sz w:val="28"/>
          <w:szCs w:val="28"/>
        </w:rPr>
        <w:tab/>
      </w:r>
      <w:r w:rsidR="003E50CA">
        <w:rPr>
          <w:bCs/>
          <w:sz w:val="28"/>
          <w:szCs w:val="28"/>
        </w:rPr>
        <w:t xml:space="preserve"> </w:t>
      </w:r>
    </w:p>
    <w:p w:rsidR="004807ED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DF66D6">
        <w:rPr>
          <w:rFonts w:ascii="Times New Roman" w:hAnsi="Times New Roman"/>
          <w:bCs/>
          <w:sz w:val="28"/>
          <w:szCs w:val="28"/>
        </w:rPr>
        <w:t>306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</w:t>
      </w:r>
      <w:r w:rsidR="00366DB2">
        <w:rPr>
          <w:rFonts w:ascii="Times New Roman" w:hAnsi="Times New Roman"/>
          <w:bCs/>
          <w:sz w:val="28"/>
          <w:szCs w:val="28"/>
        </w:rPr>
        <w:t xml:space="preserve"> мая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 w:rsidR="00310645">
        <w:rPr>
          <w:rFonts w:ascii="Times New Roman" w:hAnsi="Times New Roman"/>
          <w:bCs/>
          <w:sz w:val="28"/>
          <w:szCs w:val="28"/>
        </w:rPr>
        <w:t xml:space="preserve"> </w:t>
      </w:r>
      <w:r w:rsidRPr="001708DB" w:rsidR="006D0398">
        <w:rPr>
          <w:rFonts w:ascii="Times New Roman" w:hAnsi="Times New Roman"/>
          <w:sz w:val="28"/>
          <w:szCs w:val="28"/>
        </w:rPr>
        <w:t>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366DB2">
        <w:rPr>
          <w:rFonts w:ascii="Times New Roman" w:hAnsi="Times New Roman"/>
          <w:sz w:val="28"/>
          <w:szCs w:val="28"/>
        </w:rPr>
        <w:t xml:space="preserve">     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BA255D">
        <w:rPr>
          <w:rFonts w:ascii="Times New Roman" w:hAnsi="Times New Roman"/>
          <w:sz w:val="28"/>
          <w:szCs w:val="28"/>
        </w:rPr>
        <w:t>Ярославская, 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71BBB" w:rsidP="00DF66D6">
      <w:pPr>
        <w:suppressAutoHyphens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автономной некоммерческой организации «Центр досуга «</w:t>
      </w:r>
      <w:r>
        <w:rPr>
          <w:rFonts w:ascii="Times New Roman" w:hAnsi="Times New Roman"/>
          <w:sz w:val="28"/>
          <w:szCs w:val="28"/>
        </w:rPr>
        <w:t>Акуна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Матата</w:t>
      </w:r>
      <w:r>
        <w:rPr>
          <w:rFonts w:ascii="Times New Roman" w:hAnsi="Times New Roman"/>
          <w:sz w:val="28"/>
          <w:szCs w:val="28"/>
        </w:rPr>
        <w:t>» Бычковой С</w:t>
      </w:r>
      <w:r w:rsidR="00694A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694A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694A67">
        <w:rPr>
          <w:rFonts w:ascii="Times New Roman" w:hAnsi="Times New Roman"/>
          <w:sz w:val="28"/>
          <w:szCs w:val="28"/>
        </w:rPr>
        <w:t>* года рождения, уроженки 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694A6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0E69F7" w:rsidP="000E69F7">
      <w:pPr>
        <w:tabs>
          <w:tab w:val="left" w:pos="709"/>
        </w:tabs>
        <w:spacing w:after="0" w:line="240" w:lineRule="auto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CD29AC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DF66D6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797742">
        <w:rPr>
          <w:rFonts w:ascii="Times New Roman" w:hAnsi="Times New Roman"/>
          <w:sz w:val="28"/>
          <w:szCs w:val="28"/>
        </w:rPr>
        <w:t>января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5F003B" w:rsidR="001F7D34">
        <w:rPr>
          <w:rFonts w:ascii="Times New Roman" w:hAnsi="Times New Roman"/>
          <w:sz w:val="28"/>
          <w:szCs w:val="28"/>
        </w:rPr>
        <w:t xml:space="preserve"> </w:t>
      </w:r>
      <w:r w:rsidR="00DF66D6">
        <w:rPr>
          <w:rFonts w:ascii="Times New Roman" w:hAnsi="Times New Roman"/>
          <w:sz w:val="28"/>
          <w:szCs w:val="28"/>
        </w:rPr>
        <w:t>директор автономной некоммерческой организации «Центр досуга «</w:t>
      </w:r>
      <w:r w:rsidR="00DF66D6">
        <w:rPr>
          <w:rFonts w:ascii="Times New Roman" w:hAnsi="Times New Roman"/>
          <w:sz w:val="28"/>
          <w:szCs w:val="28"/>
        </w:rPr>
        <w:t>Акуна</w:t>
      </w:r>
      <w:r w:rsidR="00DF66D6">
        <w:rPr>
          <w:rFonts w:ascii="Times New Roman" w:hAnsi="Times New Roman"/>
          <w:sz w:val="28"/>
          <w:szCs w:val="28"/>
        </w:rPr>
        <w:t xml:space="preserve"> </w:t>
      </w:r>
      <w:r w:rsidR="00DF66D6">
        <w:rPr>
          <w:rFonts w:ascii="Times New Roman" w:hAnsi="Times New Roman"/>
          <w:sz w:val="28"/>
          <w:szCs w:val="28"/>
        </w:rPr>
        <w:t>Матата</w:t>
      </w:r>
      <w:r w:rsidR="00DF66D6">
        <w:rPr>
          <w:rFonts w:ascii="Times New Roman" w:hAnsi="Times New Roman"/>
          <w:sz w:val="28"/>
          <w:szCs w:val="28"/>
        </w:rPr>
        <w:t>» (далее АНО «Центр досуга «</w:t>
      </w:r>
      <w:r w:rsidR="00DF66D6">
        <w:rPr>
          <w:rFonts w:ascii="Times New Roman" w:hAnsi="Times New Roman"/>
          <w:sz w:val="28"/>
          <w:szCs w:val="28"/>
        </w:rPr>
        <w:t>Акуна</w:t>
      </w:r>
      <w:r w:rsidR="00DF66D6">
        <w:rPr>
          <w:rFonts w:ascii="Times New Roman" w:hAnsi="Times New Roman"/>
          <w:sz w:val="28"/>
          <w:szCs w:val="28"/>
        </w:rPr>
        <w:t xml:space="preserve"> </w:t>
      </w:r>
      <w:r w:rsidR="00DF66D6">
        <w:rPr>
          <w:rFonts w:ascii="Times New Roman" w:hAnsi="Times New Roman"/>
          <w:sz w:val="28"/>
          <w:szCs w:val="28"/>
        </w:rPr>
        <w:t>Матата</w:t>
      </w:r>
      <w:r w:rsidR="00DF66D6">
        <w:rPr>
          <w:rFonts w:ascii="Times New Roman" w:hAnsi="Times New Roman"/>
          <w:sz w:val="28"/>
          <w:szCs w:val="28"/>
        </w:rPr>
        <w:t>») Бычкова С.А.</w:t>
      </w:r>
      <w:r w:rsidR="00E71BBB">
        <w:rPr>
          <w:rFonts w:ascii="Times New Roman" w:hAnsi="Times New Roman"/>
          <w:sz w:val="28"/>
          <w:szCs w:val="28"/>
        </w:rPr>
        <w:t xml:space="preserve">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694A67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 w:rsidR="00F475BF">
        <w:rPr>
          <w:rFonts w:ascii="Times New Roman" w:hAnsi="Times New Roman"/>
          <w:sz w:val="28"/>
          <w:szCs w:val="28"/>
        </w:rPr>
        <w:t xml:space="preserve">нарушила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представила в Межрайонную Инспекцию ФНС России № 2 по ХМАО – Югре (г. </w:t>
      </w:r>
      <w:r w:rsidR="00F475BF">
        <w:rPr>
          <w:rFonts w:ascii="Times New Roman" w:hAnsi="Times New Roman"/>
          <w:sz w:val="28"/>
          <w:szCs w:val="28"/>
        </w:rPr>
        <w:t>Югорск</w:t>
      </w:r>
      <w:r w:rsidR="00F475BF">
        <w:rPr>
          <w:rFonts w:ascii="Times New Roman" w:hAnsi="Times New Roman"/>
          <w:sz w:val="28"/>
          <w:szCs w:val="28"/>
        </w:rPr>
        <w:t>) расчет по страховым взносам</w:t>
      </w:r>
      <w:r w:rsidR="00B150E2">
        <w:rPr>
          <w:rFonts w:ascii="Times New Roman" w:hAnsi="Times New Roman"/>
          <w:sz w:val="28"/>
          <w:szCs w:val="28"/>
        </w:rPr>
        <w:t xml:space="preserve"> </w:t>
      </w:r>
      <w:r w:rsidR="00F475BF">
        <w:rPr>
          <w:rFonts w:ascii="Times New Roman" w:hAnsi="Times New Roman"/>
          <w:sz w:val="28"/>
          <w:szCs w:val="28"/>
        </w:rPr>
        <w:t>за 12 месяцев 2024 года, который следовало представить не позднее 2</w:t>
      </w:r>
      <w:r w:rsidR="00E71BBB">
        <w:rPr>
          <w:rFonts w:ascii="Times New Roman" w:hAnsi="Times New Roman"/>
          <w:sz w:val="28"/>
          <w:szCs w:val="28"/>
        </w:rPr>
        <w:t>7</w:t>
      </w:r>
      <w:r w:rsidR="00F475BF">
        <w:rPr>
          <w:rFonts w:ascii="Times New Roman" w:hAnsi="Times New Roman"/>
          <w:sz w:val="28"/>
          <w:szCs w:val="28"/>
        </w:rPr>
        <w:t xml:space="preserve"> января 2025 года,</w:t>
      </w:r>
      <w:r w:rsidR="00366DB2">
        <w:rPr>
          <w:rFonts w:ascii="Times New Roman" w:hAnsi="Times New Roman"/>
          <w:sz w:val="28"/>
          <w:szCs w:val="28"/>
        </w:rPr>
        <w:t xml:space="preserve"> то есть </w:t>
      </w:r>
      <w:r>
        <w:rPr>
          <w:rFonts w:ascii="Times New Roman" w:hAnsi="Times New Roman"/>
          <w:sz w:val="28"/>
          <w:szCs w:val="28"/>
        </w:rPr>
        <w:t>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</w:t>
      </w:r>
      <w:r w:rsidRPr="00DF66D6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правонарушениях.</w:t>
      </w:r>
    </w:p>
    <w:p w:rsidR="00E71BBB" w:rsidRPr="00DF66D6" w:rsidP="00E71BB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66D6">
        <w:rPr>
          <w:rFonts w:ascii="Times New Roman" w:hAnsi="Times New Roman"/>
          <w:sz w:val="28"/>
          <w:szCs w:val="28"/>
        </w:rPr>
        <w:t>В судебное заседание Бычкова С.А. не явилась, судебная повестка, направленная по месту жительства Бычковой С.А.,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Бычковой С.А.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310645" w:rsidP="0031064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</w:t>
      </w:r>
      <w:r w:rsidR="00B150E2">
        <w:rPr>
          <w:rFonts w:ascii="Times New Roman" w:hAnsi="Times New Roman"/>
          <w:sz w:val="28"/>
          <w:szCs w:val="28"/>
        </w:rPr>
        <w:t xml:space="preserve"> расчетным (отчетным) периодом.</w:t>
      </w:r>
    </w:p>
    <w:p w:rsidR="00B150E2" w:rsidP="00B15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267F64" w:rsidP="00267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12 месяцев 2024 года следовало представить не позднее 27 января 2025 года.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66D6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директора АНО «Центр досуга «</w:t>
      </w:r>
      <w:r w:rsidR="00DF66D6">
        <w:rPr>
          <w:rFonts w:ascii="Times New Roman" w:hAnsi="Times New Roman"/>
          <w:sz w:val="28"/>
          <w:szCs w:val="28"/>
        </w:rPr>
        <w:t>Акуна</w:t>
      </w:r>
      <w:r w:rsidR="00DF66D6">
        <w:rPr>
          <w:rFonts w:ascii="Times New Roman" w:hAnsi="Times New Roman"/>
          <w:sz w:val="28"/>
          <w:szCs w:val="28"/>
        </w:rPr>
        <w:t xml:space="preserve"> </w:t>
      </w:r>
      <w:r w:rsidR="00DF66D6">
        <w:rPr>
          <w:rFonts w:ascii="Times New Roman" w:hAnsi="Times New Roman"/>
          <w:sz w:val="28"/>
          <w:szCs w:val="28"/>
        </w:rPr>
        <w:t>Матата</w:t>
      </w:r>
      <w:r w:rsidR="00DF66D6">
        <w:rPr>
          <w:rFonts w:ascii="Times New Roman" w:hAnsi="Times New Roman"/>
          <w:sz w:val="28"/>
          <w:szCs w:val="28"/>
        </w:rPr>
        <w:t>» Бычковой С.А., в его совершении подтверждаются совокупностью исследованных в судебном заседании доказательств:</w:t>
      </w:r>
    </w:p>
    <w:p w:rsidR="00267F64" w:rsidP="00267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DF66D6">
        <w:rPr>
          <w:rFonts w:ascii="Times New Roman" w:eastAsia="Times New Roman" w:hAnsi="Times New Roman"/>
          <w:sz w:val="28"/>
          <w:szCs w:val="28"/>
          <w:lang w:eastAsia="ru-RU"/>
        </w:rPr>
        <w:t>949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F66D6">
        <w:rPr>
          <w:rFonts w:ascii="Times New Roman" w:eastAsia="Times New Roman" w:hAnsi="Times New Roman"/>
          <w:sz w:val="28"/>
          <w:szCs w:val="28"/>
          <w:lang w:eastAsia="ru-RU"/>
        </w:rPr>
        <w:t>10 апреля</w:t>
      </w:r>
      <w:r w:rsidR="000A4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6D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расчет по страховым взносам за </w:t>
      </w:r>
      <w:r w:rsidR="00797742">
        <w:rPr>
          <w:rFonts w:ascii="Times New Roman" w:hAnsi="Times New Roman"/>
          <w:sz w:val="28"/>
          <w:szCs w:val="28"/>
        </w:rPr>
        <w:t>12</w:t>
      </w:r>
      <w:r w:rsidR="00B62D22">
        <w:rPr>
          <w:rFonts w:ascii="Times New Roman" w:hAnsi="Times New Roman"/>
          <w:sz w:val="28"/>
          <w:szCs w:val="28"/>
        </w:rPr>
        <w:t xml:space="preserve"> месяц</w:t>
      </w:r>
      <w:r w:rsidR="00310645">
        <w:rPr>
          <w:rFonts w:ascii="Times New Roman" w:hAnsi="Times New Roman"/>
          <w:sz w:val="28"/>
          <w:szCs w:val="28"/>
        </w:rPr>
        <w:t>ев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9E4D10">
        <w:rPr>
          <w:rFonts w:ascii="Times New Roman" w:hAnsi="Times New Roman"/>
          <w:sz w:val="28"/>
          <w:szCs w:val="28"/>
        </w:rPr>
        <w:t>20</w:t>
      </w:r>
      <w:r w:rsidR="009C7F04"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4</w:t>
      </w:r>
      <w:r w:rsidR="009E4D10">
        <w:rPr>
          <w:rFonts w:ascii="Times New Roman" w:hAnsi="Times New Roman"/>
          <w:sz w:val="28"/>
          <w:szCs w:val="28"/>
        </w:rPr>
        <w:t xml:space="preserve"> 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6D6">
        <w:rPr>
          <w:rFonts w:ascii="Times New Roman" w:hAnsi="Times New Roman"/>
          <w:sz w:val="28"/>
          <w:szCs w:val="28"/>
        </w:rPr>
        <w:t>АНО «Центр досуга «</w:t>
      </w:r>
      <w:r w:rsidR="00DF66D6">
        <w:rPr>
          <w:rFonts w:ascii="Times New Roman" w:hAnsi="Times New Roman"/>
          <w:sz w:val="28"/>
          <w:szCs w:val="28"/>
        </w:rPr>
        <w:t>Акуна</w:t>
      </w:r>
      <w:r w:rsidR="00DF66D6">
        <w:rPr>
          <w:rFonts w:ascii="Times New Roman" w:hAnsi="Times New Roman"/>
          <w:sz w:val="28"/>
          <w:szCs w:val="28"/>
        </w:rPr>
        <w:t xml:space="preserve"> </w:t>
      </w:r>
      <w:r w:rsidR="00DF66D6">
        <w:rPr>
          <w:rFonts w:ascii="Times New Roman" w:hAnsi="Times New Roman"/>
          <w:sz w:val="28"/>
          <w:szCs w:val="28"/>
        </w:rPr>
        <w:t>Матата</w:t>
      </w:r>
      <w:r w:rsidR="00DF66D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F475BF">
        <w:rPr>
          <w:rFonts w:ascii="Times New Roman" w:eastAsia="Times New Roman" w:hAnsi="Times New Roman"/>
          <w:sz w:val="28"/>
          <w:szCs w:val="28"/>
          <w:lang w:eastAsia="ru-RU"/>
        </w:rPr>
        <w:t>не представлен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475BF" w:rsidP="00F47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>
        <w:rPr>
          <w:rFonts w:ascii="Times New Roman" w:hAnsi="Times New Roman"/>
          <w:sz w:val="28"/>
          <w:szCs w:val="28"/>
        </w:rPr>
        <w:t xml:space="preserve">12 месяцев 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DF66D6">
        <w:rPr>
          <w:rFonts w:ascii="Times New Roman" w:hAnsi="Times New Roman"/>
          <w:sz w:val="28"/>
          <w:szCs w:val="28"/>
        </w:rPr>
        <w:t>АНО «Центр досуга «</w:t>
      </w:r>
      <w:r w:rsidR="00DF66D6">
        <w:rPr>
          <w:rFonts w:ascii="Times New Roman" w:hAnsi="Times New Roman"/>
          <w:sz w:val="28"/>
          <w:szCs w:val="28"/>
        </w:rPr>
        <w:t>Акуна</w:t>
      </w:r>
      <w:r w:rsidR="00DF66D6">
        <w:rPr>
          <w:rFonts w:ascii="Times New Roman" w:hAnsi="Times New Roman"/>
          <w:sz w:val="28"/>
          <w:szCs w:val="28"/>
        </w:rPr>
        <w:t xml:space="preserve"> </w:t>
      </w:r>
      <w:r w:rsidR="00DF66D6">
        <w:rPr>
          <w:rFonts w:ascii="Times New Roman" w:hAnsi="Times New Roman"/>
          <w:sz w:val="28"/>
          <w:szCs w:val="28"/>
        </w:rPr>
        <w:t>Матата</w:t>
      </w:r>
      <w:r w:rsidR="00DF66D6">
        <w:rPr>
          <w:rFonts w:ascii="Times New Roman" w:hAnsi="Times New Roman"/>
          <w:sz w:val="28"/>
          <w:szCs w:val="28"/>
        </w:rPr>
        <w:t>»</w:t>
      </w:r>
      <w:r w:rsidR="00A228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A228D8" w:rsidP="00A22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DF66D6">
        <w:rPr>
          <w:rFonts w:ascii="Times New Roman" w:eastAsia="Times New Roman" w:hAnsi="Times New Roman"/>
          <w:sz w:val="28"/>
          <w:szCs w:val="28"/>
        </w:rPr>
        <w:t>31 марта</w:t>
      </w:r>
      <w:r>
        <w:rPr>
          <w:rFonts w:ascii="Times New Roman" w:eastAsia="Times New Roman" w:hAnsi="Times New Roman"/>
          <w:sz w:val="28"/>
          <w:szCs w:val="28"/>
        </w:rPr>
        <w:t xml:space="preserve">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DF66D6">
        <w:rPr>
          <w:rFonts w:ascii="Times New Roman" w:hAnsi="Times New Roman"/>
          <w:sz w:val="28"/>
          <w:szCs w:val="28"/>
        </w:rPr>
        <w:t>директором АНО «Центр досуга «</w:t>
      </w:r>
      <w:r w:rsidR="00DF66D6">
        <w:rPr>
          <w:rFonts w:ascii="Times New Roman" w:hAnsi="Times New Roman"/>
          <w:sz w:val="28"/>
          <w:szCs w:val="28"/>
        </w:rPr>
        <w:t>Акуна</w:t>
      </w:r>
      <w:r w:rsidR="00DF66D6">
        <w:rPr>
          <w:rFonts w:ascii="Times New Roman" w:hAnsi="Times New Roman"/>
          <w:sz w:val="28"/>
          <w:szCs w:val="28"/>
        </w:rPr>
        <w:t xml:space="preserve"> </w:t>
      </w:r>
      <w:r w:rsidR="00DF66D6">
        <w:rPr>
          <w:rFonts w:ascii="Times New Roman" w:hAnsi="Times New Roman"/>
          <w:sz w:val="28"/>
          <w:szCs w:val="28"/>
        </w:rPr>
        <w:t>Матата</w:t>
      </w:r>
      <w:r w:rsidR="00DF66D6">
        <w:rPr>
          <w:rFonts w:ascii="Times New Roman" w:hAnsi="Times New Roman"/>
          <w:sz w:val="28"/>
          <w:szCs w:val="28"/>
        </w:rPr>
        <w:t>» является Бычкова С.А.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>директора АНО «Центр досуга «</w:t>
      </w:r>
      <w:r>
        <w:rPr>
          <w:rFonts w:ascii="Times New Roman" w:hAnsi="Times New Roman"/>
          <w:sz w:val="28"/>
          <w:szCs w:val="28"/>
        </w:rPr>
        <w:t>Акуна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Матата</w:t>
      </w:r>
      <w:r>
        <w:rPr>
          <w:rFonts w:ascii="Times New Roman" w:hAnsi="Times New Roman"/>
          <w:sz w:val="28"/>
          <w:szCs w:val="28"/>
        </w:rPr>
        <w:t xml:space="preserve">» Бычковой С.А.,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ее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A228D8" w:rsidP="00A228D8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Бычковой С.А.,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Бычковой С.А.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DF6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 д</w:t>
      </w:r>
      <w:r>
        <w:rPr>
          <w:rFonts w:ascii="Times New Roman" w:hAnsi="Times New Roman"/>
          <w:sz w:val="28"/>
          <w:szCs w:val="28"/>
        </w:rPr>
        <w:t>иректора автономной некоммерческой организации «Центр досуга «</w:t>
      </w:r>
      <w:r>
        <w:rPr>
          <w:rFonts w:ascii="Times New Roman" w:hAnsi="Times New Roman"/>
          <w:sz w:val="28"/>
          <w:szCs w:val="28"/>
        </w:rPr>
        <w:t>Акуна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Матата</w:t>
      </w:r>
      <w:r>
        <w:rPr>
          <w:rFonts w:ascii="Times New Roman" w:hAnsi="Times New Roman"/>
          <w:sz w:val="28"/>
          <w:szCs w:val="28"/>
        </w:rPr>
        <w:t>» Бычкову С</w:t>
      </w:r>
      <w:r w:rsidR="00694A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694A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267F64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0E2" w:rsidRPr="00535CEC" w:rsidP="00B150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Мировой судья</w:t>
      </w:r>
    </w:p>
    <w:p w:rsidR="00B150E2" w:rsidP="00B150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судебного участка №2</w:t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  <w:t>А.В. Воробьева</w:t>
      </w:r>
    </w:p>
    <w:p w:rsidR="00694A67" w:rsidP="00B150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A67" w:rsidP="00B150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A67">
        <w:rPr>
          <w:rFonts w:ascii="Times New Roman" w:hAnsi="Times New Roman"/>
          <w:sz w:val="28"/>
          <w:szCs w:val="28"/>
        </w:rPr>
        <w:t>Согласовано</w:t>
      </w:r>
    </w:p>
    <w:p w:rsidR="00DB2CFA" w:rsidP="00B150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A67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32AA5"/>
    <w:rsid w:val="000A4C2A"/>
    <w:rsid w:val="000D10D9"/>
    <w:rsid w:val="000D3DEC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7F64"/>
    <w:rsid w:val="002B556F"/>
    <w:rsid w:val="002D719C"/>
    <w:rsid w:val="002E54E1"/>
    <w:rsid w:val="002F4AFC"/>
    <w:rsid w:val="00310645"/>
    <w:rsid w:val="003619D9"/>
    <w:rsid w:val="00361DC8"/>
    <w:rsid w:val="00366DB2"/>
    <w:rsid w:val="003751E9"/>
    <w:rsid w:val="003817A3"/>
    <w:rsid w:val="003823F6"/>
    <w:rsid w:val="003841C2"/>
    <w:rsid w:val="003849E8"/>
    <w:rsid w:val="003A5235"/>
    <w:rsid w:val="003A66FB"/>
    <w:rsid w:val="003A74D8"/>
    <w:rsid w:val="003B7173"/>
    <w:rsid w:val="003D146D"/>
    <w:rsid w:val="003E50CA"/>
    <w:rsid w:val="003E6871"/>
    <w:rsid w:val="003F3E96"/>
    <w:rsid w:val="003F3F7B"/>
    <w:rsid w:val="0040015B"/>
    <w:rsid w:val="00421786"/>
    <w:rsid w:val="00431AEF"/>
    <w:rsid w:val="00437AB1"/>
    <w:rsid w:val="00452F9D"/>
    <w:rsid w:val="00454AF2"/>
    <w:rsid w:val="004807ED"/>
    <w:rsid w:val="00497D0C"/>
    <w:rsid w:val="004A1087"/>
    <w:rsid w:val="004C27A4"/>
    <w:rsid w:val="0051158A"/>
    <w:rsid w:val="005258FB"/>
    <w:rsid w:val="005350D2"/>
    <w:rsid w:val="00535CEC"/>
    <w:rsid w:val="005423CF"/>
    <w:rsid w:val="005764A4"/>
    <w:rsid w:val="00576E4E"/>
    <w:rsid w:val="00581DDE"/>
    <w:rsid w:val="00585C07"/>
    <w:rsid w:val="0059788F"/>
    <w:rsid w:val="005A6E8E"/>
    <w:rsid w:val="005B0FB3"/>
    <w:rsid w:val="005D17D0"/>
    <w:rsid w:val="005F003B"/>
    <w:rsid w:val="0060395E"/>
    <w:rsid w:val="00620C21"/>
    <w:rsid w:val="00673C40"/>
    <w:rsid w:val="00694A67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97742"/>
    <w:rsid w:val="007B1B74"/>
    <w:rsid w:val="007C1C6C"/>
    <w:rsid w:val="007E17EC"/>
    <w:rsid w:val="00832A0B"/>
    <w:rsid w:val="00860817"/>
    <w:rsid w:val="008A0183"/>
    <w:rsid w:val="008A73A3"/>
    <w:rsid w:val="008D1E12"/>
    <w:rsid w:val="008E28AD"/>
    <w:rsid w:val="008F032B"/>
    <w:rsid w:val="00920F62"/>
    <w:rsid w:val="0094550D"/>
    <w:rsid w:val="009A74DE"/>
    <w:rsid w:val="009C5074"/>
    <w:rsid w:val="009C7F04"/>
    <w:rsid w:val="009E469D"/>
    <w:rsid w:val="009E4D10"/>
    <w:rsid w:val="00A1386D"/>
    <w:rsid w:val="00A228D8"/>
    <w:rsid w:val="00A31EB3"/>
    <w:rsid w:val="00A33985"/>
    <w:rsid w:val="00A4524A"/>
    <w:rsid w:val="00A46932"/>
    <w:rsid w:val="00A56AC6"/>
    <w:rsid w:val="00A81107"/>
    <w:rsid w:val="00A9309F"/>
    <w:rsid w:val="00A959F7"/>
    <w:rsid w:val="00AC1050"/>
    <w:rsid w:val="00AC6245"/>
    <w:rsid w:val="00AD3B43"/>
    <w:rsid w:val="00AF6A4A"/>
    <w:rsid w:val="00B150E2"/>
    <w:rsid w:val="00B20AF3"/>
    <w:rsid w:val="00B5009D"/>
    <w:rsid w:val="00B62D22"/>
    <w:rsid w:val="00B6430B"/>
    <w:rsid w:val="00B75078"/>
    <w:rsid w:val="00B81EDF"/>
    <w:rsid w:val="00BA255D"/>
    <w:rsid w:val="00BA4B3A"/>
    <w:rsid w:val="00BB3933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E2D5A"/>
    <w:rsid w:val="00CF6014"/>
    <w:rsid w:val="00D261BF"/>
    <w:rsid w:val="00D26385"/>
    <w:rsid w:val="00D271C2"/>
    <w:rsid w:val="00D279F5"/>
    <w:rsid w:val="00D46511"/>
    <w:rsid w:val="00D508B8"/>
    <w:rsid w:val="00D50AA1"/>
    <w:rsid w:val="00D703E8"/>
    <w:rsid w:val="00D85C96"/>
    <w:rsid w:val="00D961C3"/>
    <w:rsid w:val="00DB2CFA"/>
    <w:rsid w:val="00DC5743"/>
    <w:rsid w:val="00DF0DD4"/>
    <w:rsid w:val="00DF1D15"/>
    <w:rsid w:val="00DF449E"/>
    <w:rsid w:val="00DF66D6"/>
    <w:rsid w:val="00E1133C"/>
    <w:rsid w:val="00E15459"/>
    <w:rsid w:val="00E34702"/>
    <w:rsid w:val="00E36AE5"/>
    <w:rsid w:val="00E412B8"/>
    <w:rsid w:val="00E44EE3"/>
    <w:rsid w:val="00E52871"/>
    <w:rsid w:val="00E71BBB"/>
    <w:rsid w:val="00E95997"/>
    <w:rsid w:val="00EB5809"/>
    <w:rsid w:val="00ED58A6"/>
    <w:rsid w:val="00EE5A68"/>
    <w:rsid w:val="00F03DBF"/>
    <w:rsid w:val="00F07A14"/>
    <w:rsid w:val="00F11A08"/>
    <w:rsid w:val="00F144DC"/>
    <w:rsid w:val="00F15EB2"/>
    <w:rsid w:val="00F221E3"/>
    <w:rsid w:val="00F24BB1"/>
    <w:rsid w:val="00F25A5B"/>
    <w:rsid w:val="00F42FD9"/>
    <w:rsid w:val="00F475BF"/>
    <w:rsid w:val="00F5368D"/>
    <w:rsid w:val="00F54068"/>
    <w:rsid w:val="00F6583B"/>
    <w:rsid w:val="00F92577"/>
    <w:rsid w:val="00F971FD"/>
    <w:rsid w:val="00FB7188"/>
    <w:rsid w:val="00FC10CB"/>
    <w:rsid w:val="00FF21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6AA1D20-75FA-42BE-945A-9BD459BA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A2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A255D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31064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